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3D3905" w:rsidP="00A34231">
      <w:pPr>
        <w:pStyle w:val="Heading2"/>
        <w:spacing w:before="120" w:after="0"/>
      </w:pPr>
      <w:r>
        <w:t>Entry No.: 961/00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D3905" w:rsidP="00A34231">
            <w:pPr>
              <w:spacing w:before="120"/>
            </w:pPr>
            <w:r>
              <w:t>V</w:t>
            </w:r>
            <w:r w:rsidR="00356DF0">
              <w:t>ICTORY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56DF0" w:rsidP="00A34231">
            <w:pPr>
              <w:spacing w:before="120"/>
            </w:pPr>
            <w:r>
              <w:t>EMPULSE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56DF0" w:rsidP="00A34231">
            <w:pPr>
              <w:spacing w:before="120"/>
            </w:pPr>
            <w:r>
              <w:t>EMPULSE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D3905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D3905" w:rsidP="00A34231">
            <w:pPr>
              <w:spacing w:before="120"/>
              <w:rPr>
                <w:rFonts w:cs="Arial"/>
              </w:rPr>
            </w:pPr>
            <w:r>
              <w:t>01/01/2015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56DF0" w:rsidP="00A34231">
            <w:pPr>
              <w:spacing w:before="120"/>
            </w:pPr>
            <w:r>
              <w:rPr>
                <w:rFonts w:cs="Arial"/>
              </w:rPr>
              <w:t>CURRENT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356DF0">
              <w:t xml:space="preserve"> EMPULSE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3025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356DF0" w:rsidP="00777E30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24 October 2018</w:t>
            </w:r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2" w:rsidRDefault="00580B92" w:rsidP="00A34231">
      <w:r>
        <w:separator/>
      </w:r>
    </w:p>
  </w:endnote>
  <w:endnote w:type="continuationSeparator" w:id="0">
    <w:p w:rsidR="00580B92" w:rsidRDefault="00580B92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2" w:rsidRDefault="00580B92" w:rsidP="00A34231">
      <w:r>
        <w:separator/>
      </w:r>
    </w:p>
  </w:footnote>
  <w:footnote w:type="continuationSeparator" w:id="0">
    <w:p w:rsidR="00580B92" w:rsidRDefault="00580B92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356DF0">
    <w:pPr>
      <w:pStyle w:val="Header"/>
    </w:pPr>
    <w:r w:rsidRPr="00777E30">
      <w:rPr>
        <w:i/>
        <w:noProof/>
        <w:color w:val="000000"/>
      </w:rPr>
      <w:drawing>
        <wp:inline distT="0" distB="0" distL="0" distR="0">
          <wp:extent cx="3752850" cy="754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5"/>
    <w:rsid w:val="00020F31"/>
    <w:rsid w:val="000D4644"/>
    <w:rsid w:val="00324B1E"/>
    <w:rsid w:val="0032799C"/>
    <w:rsid w:val="00356DF0"/>
    <w:rsid w:val="003D3905"/>
    <w:rsid w:val="00491606"/>
    <w:rsid w:val="00580B92"/>
    <w:rsid w:val="005A0761"/>
    <w:rsid w:val="00777E30"/>
    <w:rsid w:val="00A34231"/>
    <w:rsid w:val="00B37A48"/>
    <w:rsid w:val="00C2492D"/>
    <w:rsid w:val="00D81952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2D8"/>
  <w15:chartTrackingRefBased/>
  <w15:docId w15:val="{82554529-DE97-491D-AEED-C16EAB1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STP\Vehicle%20Safety%20Standards\Certification\SEVS%20rulings\Unrestricted%20Used%20Motorcycle%20in%20progress\victory%20-%20empulse\961-00_Victory_Emplulse%20Unrestricted%20Used%20Motorcycle%20Entry%20template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961-00_Victory_Emplulse Unrestricted Used Motorcycle Entry template.doc.dot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COLQUHOUN Steve</dc:creator>
  <cp:keywords/>
  <cp:lastModifiedBy>COLQUHOUN Steve</cp:lastModifiedBy>
  <cp:revision>1</cp:revision>
  <dcterms:created xsi:type="dcterms:W3CDTF">2018-10-24T05:10:00Z</dcterms:created>
  <dcterms:modified xsi:type="dcterms:W3CDTF">2018-10-24T05:26:00Z</dcterms:modified>
</cp:coreProperties>
</file>